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E3" w:rsidRDefault="00B948FE">
      <w:pPr>
        <w:rPr>
          <w:rFonts w:ascii="Times New Roman" w:hAnsi="Times New Roman" w:cs="Times New Roman"/>
          <w:sz w:val="36"/>
          <w:szCs w:val="36"/>
        </w:rPr>
      </w:pPr>
      <w:r w:rsidRPr="00B948FE">
        <w:rPr>
          <w:rFonts w:ascii="Lucida Calligraphy" w:hAnsi="Lucida Calligraphy"/>
        </w:rPr>
        <w:t xml:space="preserve">Where did I learn it? </w:t>
      </w:r>
      <w:r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7A09D1">
        <w:rPr>
          <w:rFonts w:ascii="Lucida Calligraphy" w:hAnsi="Lucida Calligraphy"/>
        </w:rPr>
        <w:tab/>
      </w:r>
      <w:r w:rsidR="007A09D1">
        <w:rPr>
          <w:rFonts w:ascii="Lucida Calligraphy" w:hAnsi="Lucida Calligraphy"/>
        </w:rPr>
        <w:tab/>
      </w:r>
      <w:r w:rsidRPr="00B948FE">
        <w:rPr>
          <w:rFonts w:ascii="Times New Roman" w:hAnsi="Times New Roman" w:cs="Times New Roman"/>
          <w:sz w:val="36"/>
          <w:szCs w:val="36"/>
        </w:rPr>
        <w:t>THE MATRIX</w:t>
      </w:r>
      <w:r w:rsidR="007A09D1">
        <w:rPr>
          <w:rFonts w:ascii="Times New Roman" w:hAnsi="Times New Roman" w:cs="Times New Roman"/>
          <w:sz w:val="36"/>
          <w:szCs w:val="36"/>
        </w:rPr>
        <w:t xml:space="preserve"> ~ Unit: ____</w:t>
      </w:r>
    </w:p>
    <w:p w:rsidR="00B948FE" w:rsidRDefault="00B9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standard we learned during this unit, indicate in the </w:t>
      </w:r>
      <w:r w:rsidR="007A09D1">
        <w:rPr>
          <w:rFonts w:ascii="Times New Roman" w:hAnsi="Times New Roman" w:cs="Times New Roman"/>
          <w:sz w:val="24"/>
          <w:szCs w:val="24"/>
        </w:rPr>
        <w:t>box provided to the right which assignment or class activity we learned it through. There may be more than one activity that relates to the standard.</w:t>
      </w:r>
    </w:p>
    <w:tbl>
      <w:tblPr>
        <w:tblStyle w:val="TableGrid"/>
        <w:tblW w:w="14395" w:type="dxa"/>
        <w:tblLook w:val="04A0"/>
      </w:tblPr>
      <w:tblGrid>
        <w:gridCol w:w="9690"/>
        <w:gridCol w:w="4705"/>
      </w:tblGrid>
      <w:tr w:rsidR="00B948FE" w:rsidTr="002D0C84">
        <w:trPr>
          <w:trHeight w:val="1223"/>
        </w:trPr>
        <w:tc>
          <w:tcPr>
            <w:tcW w:w="9690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1"/>
              <w:gridCol w:w="5957"/>
            </w:tblGrid>
            <w:tr w:rsidR="002D0C84" w:rsidTr="002D0C84">
              <w:trPr>
                <w:tblCellSpacing w:w="0" w:type="dxa"/>
              </w:trPr>
              <w:tc>
                <w:tcPr>
                  <w:tcW w:w="1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vAlign w:val="center"/>
                  <w:hideMark/>
                </w:tcPr>
                <w:p w:rsidR="002D0C84" w:rsidRDefault="002D0C84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3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D0C84" w:rsidRDefault="002D0C84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Nature of Matter</w:t>
                  </w:r>
                </w:p>
              </w:tc>
            </w:tr>
            <w:tr w:rsidR="002D0C84" w:rsidTr="002D0C84">
              <w:trPr>
                <w:tblCellSpacing w:w="0" w:type="dxa"/>
              </w:trPr>
              <w:tc>
                <w:tcPr>
                  <w:tcW w:w="1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vAlign w:val="center"/>
                  <w:hideMark/>
                </w:tcPr>
                <w:p w:rsidR="002D0C84" w:rsidRDefault="002D0C84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7"/>
                      <w:szCs w:val="17"/>
                    </w:rPr>
                    <w:t>Benchmark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  <w:hyperlink r:id="rId4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SC.CH.4.7</w:t>
                    </w:r>
                  </w:hyperlink>
                </w:p>
              </w:tc>
              <w:tc>
                <w:tcPr>
                  <w:tcW w:w="31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D0C84" w:rsidRDefault="002D0C84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Describe why the chemical bonds between atoms in molecules, such as H2, CH4, NH3, C2H4, N2, Cl2, and many large biological molecules are covalent</w:t>
                  </w:r>
                </w:p>
              </w:tc>
            </w:tr>
          </w:tbl>
          <w:p w:rsidR="00B948FE" w:rsidRDefault="00B948FE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705" w:type="dxa"/>
          </w:tcPr>
          <w:p w:rsidR="00B948FE" w:rsidRDefault="00B948FE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B948FE" w:rsidTr="007A09D1">
        <w:trPr>
          <w:trHeight w:val="2310"/>
        </w:trPr>
        <w:tc>
          <w:tcPr>
            <w:tcW w:w="9690" w:type="dxa"/>
          </w:tcPr>
          <w:tbl>
            <w:tblPr>
              <w:tblW w:w="4966" w:type="pct"/>
              <w:tblCellSpacing w:w="0" w:type="dxa"/>
              <w:tblInd w:w="1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68"/>
              <w:gridCol w:w="5926"/>
            </w:tblGrid>
            <w:tr w:rsidR="00D60704" w:rsidRPr="00D60704" w:rsidTr="007A09D1">
              <w:trPr>
                <w:trHeight w:val="956"/>
                <w:tblCellSpacing w:w="0" w:type="dxa"/>
              </w:trPr>
              <w:tc>
                <w:tcPr>
                  <w:tcW w:w="18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vAlign w:val="center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Benchmark </w:t>
                  </w:r>
                  <w:hyperlink r:id="rId5" w:history="1">
                    <w:r w:rsidRPr="00D6070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7"/>
                        <w:szCs w:val="17"/>
                        <w:u w:val="single"/>
                      </w:rPr>
                      <w:t>SC.CH.4.2</w:t>
                    </w:r>
                  </w:hyperlink>
                </w:p>
              </w:tc>
              <w:tc>
                <w:tcPr>
                  <w:tcW w:w="3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Identify the essential characteristics of alkali metals, alkaline earth metals, and transition metals, trends in ionization energy, electronegativity, and the relative sizes of ions and atoms</w:t>
                  </w:r>
                </w:p>
              </w:tc>
            </w:tr>
            <w:tr w:rsidR="00D60704" w:rsidRPr="00D60704" w:rsidTr="007A09D1">
              <w:trPr>
                <w:trHeight w:val="1148"/>
                <w:tblCellSpacing w:w="0" w:type="dxa"/>
              </w:trPr>
              <w:tc>
                <w:tcPr>
                  <w:tcW w:w="18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Sample Performance Assessment (SPA)</w:t>
                  </w:r>
                </w:p>
              </w:tc>
              <w:tc>
                <w:tcPr>
                  <w:tcW w:w="3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The student: Explains that characteristics of alkali metals, alkaline earth metals, and transition metals reflect the overall trends in ionization energy, electronegativity, atomic radius, and ionic radius within the periodic table. </w:t>
                  </w:r>
                </w:p>
              </w:tc>
            </w:tr>
          </w:tbl>
          <w:p w:rsidR="00B948FE" w:rsidRDefault="00B948FE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705" w:type="dxa"/>
          </w:tcPr>
          <w:p w:rsidR="00B948FE" w:rsidRDefault="00B948FE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B948FE" w:rsidTr="007A09D1">
        <w:trPr>
          <w:trHeight w:val="1442"/>
        </w:trPr>
        <w:tc>
          <w:tcPr>
            <w:tcW w:w="9690" w:type="dxa"/>
          </w:tcPr>
          <w:tbl>
            <w:tblPr>
              <w:tblW w:w="4966" w:type="pct"/>
              <w:tblCellSpacing w:w="0" w:type="dxa"/>
              <w:tblInd w:w="1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68"/>
              <w:gridCol w:w="5926"/>
            </w:tblGrid>
            <w:tr w:rsidR="00D60704" w:rsidRPr="00D60704" w:rsidTr="007A09D1">
              <w:trPr>
                <w:trHeight w:val="191"/>
                <w:tblCellSpacing w:w="0" w:type="dxa"/>
              </w:trPr>
              <w:tc>
                <w:tcPr>
                  <w:tcW w:w="18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vAlign w:val="center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3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Periodic Table</w:t>
                  </w:r>
                </w:p>
              </w:tc>
            </w:tr>
            <w:tr w:rsidR="00D60704" w:rsidRPr="00D60704" w:rsidTr="007A09D1">
              <w:trPr>
                <w:trHeight w:val="382"/>
                <w:tblCellSpacing w:w="0" w:type="dxa"/>
              </w:trPr>
              <w:tc>
                <w:tcPr>
                  <w:tcW w:w="18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vAlign w:val="center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Benchmark </w:t>
                  </w:r>
                  <w:hyperlink r:id="rId6" w:history="1">
                    <w:r w:rsidRPr="00D6070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7"/>
                        <w:szCs w:val="17"/>
                        <w:u w:val="single"/>
                      </w:rPr>
                      <w:t>SC.CH.4.3</w:t>
                    </w:r>
                  </w:hyperlink>
                </w:p>
              </w:tc>
              <w:tc>
                <w:tcPr>
                  <w:tcW w:w="3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Use the periodic table to determine the number of valence electrons of an element</w:t>
                  </w:r>
                </w:p>
              </w:tc>
            </w:tr>
            <w:tr w:rsidR="00D60704" w:rsidRPr="00D60704" w:rsidTr="007A09D1">
              <w:trPr>
                <w:trHeight w:val="574"/>
                <w:tblCellSpacing w:w="0" w:type="dxa"/>
              </w:trPr>
              <w:tc>
                <w:tcPr>
                  <w:tcW w:w="18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Sample Performance Assessment (SPA)</w:t>
                  </w:r>
                </w:p>
              </w:tc>
              <w:tc>
                <w:tcPr>
                  <w:tcW w:w="3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The student: Uses the periodic table to determine the number of valence electrons in sodium, oxygen, copper, iron, and gold). </w:t>
                  </w:r>
                </w:p>
              </w:tc>
            </w:tr>
          </w:tbl>
          <w:p w:rsidR="00B948FE" w:rsidRDefault="00B948FE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705" w:type="dxa"/>
          </w:tcPr>
          <w:p w:rsidR="00B948FE" w:rsidRDefault="00B948FE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B948FE" w:rsidTr="007A09D1">
        <w:trPr>
          <w:trHeight w:val="1545"/>
        </w:trPr>
        <w:tc>
          <w:tcPr>
            <w:tcW w:w="9690" w:type="dxa"/>
          </w:tcPr>
          <w:tbl>
            <w:tblPr>
              <w:tblW w:w="4966" w:type="pct"/>
              <w:tblCellSpacing w:w="0" w:type="dxa"/>
              <w:tblInd w:w="1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68"/>
              <w:gridCol w:w="5926"/>
            </w:tblGrid>
            <w:tr w:rsidR="00D60704" w:rsidRPr="00D60704" w:rsidTr="007A09D1">
              <w:trPr>
                <w:trHeight w:val="765"/>
                <w:tblCellSpacing w:w="0" w:type="dxa"/>
              </w:trPr>
              <w:tc>
                <w:tcPr>
                  <w:tcW w:w="18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vAlign w:val="center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Benchmark </w:t>
                  </w:r>
                  <w:hyperlink r:id="rId7" w:history="1">
                    <w:r w:rsidRPr="00D6070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7"/>
                        <w:szCs w:val="17"/>
                        <w:u w:val="single"/>
                      </w:rPr>
                      <w:t>SC.CH.4.6</w:t>
                    </w:r>
                  </w:hyperlink>
                </w:p>
              </w:tc>
              <w:tc>
                <w:tcPr>
                  <w:tcW w:w="3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Explain that atoms combine to form molecules by sharing the outermost electrons to form covalent, or metallic bonds or by transferring electrons to form ionic bonds</w:t>
                  </w:r>
                </w:p>
              </w:tc>
            </w:tr>
            <w:tr w:rsidR="00D60704" w:rsidRPr="00D60704" w:rsidTr="007A09D1">
              <w:trPr>
                <w:trHeight w:val="574"/>
                <w:tblCellSpacing w:w="0" w:type="dxa"/>
              </w:trPr>
              <w:tc>
                <w:tcPr>
                  <w:tcW w:w="18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Sample Performance Assessment (SPA)</w:t>
                  </w:r>
                </w:p>
              </w:tc>
              <w:tc>
                <w:tcPr>
                  <w:tcW w:w="3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60704" w:rsidRPr="00D60704" w:rsidRDefault="00D60704" w:rsidP="00D607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D6070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The student: Describes covalent, ionic, or metallic bonds in terms of valence electrons and gives an example of each type of bond. </w:t>
                  </w:r>
                </w:p>
              </w:tc>
            </w:tr>
          </w:tbl>
          <w:p w:rsidR="00B948FE" w:rsidRDefault="00B948FE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705" w:type="dxa"/>
          </w:tcPr>
          <w:p w:rsidR="00B948FE" w:rsidRDefault="00B948FE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7A09D1" w:rsidTr="007A09D1">
        <w:trPr>
          <w:trHeight w:val="1530"/>
        </w:trPr>
        <w:tc>
          <w:tcPr>
            <w:tcW w:w="9690" w:type="dxa"/>
          </w:tcPr>
          <w:tbl>
            <w:tblPr>
              <w:tblW w:w="4966" w:type="pct"/>
              <w:tblCellSpacing w:w="0" w:type="dxa"/>
              <w:tblInd w:w="1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68"/>
              <w:gridCol w:w="5926"/>
            </w:tblGrid>
            <w:tr w:rsidR="007A09D1" w:rsidRPr="007A09D1" w:rsidTr="007A09D1">
              <w:trPr>
                <w:trHeight w:val="382"/>
                <w:tblCellSpacing w:w="0" w:type="dxa"/>
              </w:trPr>
              <w:tc>
                <w:tcPr>
                  <w:tcW w:w="18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vAlign w:val="center"/>
                  <w:hideMark/>
                </w:tcPr>
                <w:p w:rsidR="007A09D1" w:rsidRPr="007A09D1" w:rsidRDefault="007A09D1" w:rsidP="007A09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7A09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Benchmark </w:t>
                  </w:r>
                  <w:hyperlink r:id="rId8" w:history="1">
                    <w:r w:rsidRPr="007A09D1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7"/>
                        <w:szCs w:val="17"/>
                        <w:u w:val="single"/>
                      </w:rPr>
                      <w:t>SC.CH.4.9</w:t>
                    </w:r>
                  </w:hyperlink>
                </w:p>
              </w:tc>
              <w:tc>
                <w:tcPr>
                  <w:tcW w:w="3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A09D1" w:rsidRPr="007A09D1" w:rsidRDefault="007A09D1" w:rsidP="007A09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7A09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Describe how electronegativity and ionization energy relate to bond formation</w:t>
                  </w:r>
                </w:p>
              </w:tc>
            </w:tr>
            <w:tr w:rsidR="007A09D1" w:rsidRPr="007A09D1" w:rsidTr="007A09D1">
              <w:trPr>
                <w:trHeight w:val="765"/>
                <w:tblCellSpacing w:w="0" w:type="dxa"/>
              </w:trPr>
              <w:tc>
                <w:tcPr>
                  <w:tcW w:w="18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hideMark/>
                </w:tcPr>
                <w:p w:rsidR="007A09D1" w:rsidRPr="007A09D1" w:rsidRDefault="007A09D1" w:rsidP="007A09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7A09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  <w:t>Sample Performance Assessment (SPA)</w:t>
                  </w:r>
                </w:p>
              </w:tc>
              <w:tc>
                <w:tcPr>
                  <w:tcW w:w="31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9D1" w:rsidRPr="007A09D1" w:rsidRDefault="007A09D1" w:rsidP="007A09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7A09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The student: Explains how to tell the difference between a polar-covalent vs. non-polar bond based on the properties of electronegativity and ionization energy. </w:t>
                  </w:r>
                </w:p>
              </w:tc>
            </w:tr>
          </w:tbl>
          <w:p w:rsidR="007A09D1" w:rsidRPr="00D60704" w:rsidRDefault="007A09D1" w:rsidP="00D6070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705" w:type="dxa"/>
          </w:tcPr>
          <w:p w:rsidR="007A09D1" w:rsidRDefault="007A09D1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</w:tr>
    </w:tbl>
    <w:p w:rsidR="00B948FE" w:rsidRPr="00B948FE" w:rsidRDefault="00B948FE">
      <w:pPr>
        <w:rPr>
          <w:rFonts w:ascii="Lucida Calligraphy" w:hAnsi="Lucida Calligraphy"/>
          <w:sz w:val="24"/>
          <w:szCs w:val="24"/>
        </w:rPr>
      </w:pPr>
      <w:bookmarkStart w:id="0" w:name="_GoBack"/>
      <w:bookmarkEnd w:id="0"/>
    </w:p>
    <w:sectPr w:rsidR="00B948FE" w:rsidRPr="00B948FE" w:rsidSect="007A09D1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8FE"/>
    <w:rsid w:val="002D0C84"/>
    <w:rsid w:val="003508A7"/>
    <w:rsid w:val="00676DAA"/>
    <w:rsid w:val="00715B00"/>
    <w:rsid w:val="0079302D"/>
    <w:rsid w:val="007A09D1"/>
    <w:rsid w:val="00B948FE"/>
    <w:rsid w:val="00D6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948FE"/>
    <w:rPr>
      <w:b/>
      <w:bCs/>
    </w:rPr>
  </w:style>
  <w:style w:type="character" w:customStyle="1" w:styleId="apple-converted-space">
    <w:name w:val="apple-converted-space"/>
    <w:basedOn w:val="DefaultParagraphFont"/>
    <w:rsid w:val="00B948FE"/>
  </w:style>
  <w:style w:type="character" w:styleId="Hyperlink">
    <w:name w:val="Hyperlink"/>
    <w:basedOn w:val="DefaultParagraphFont"/>
    <w:uiPriority w:val="99"/>
    <w:semiHidden/>
    <w:unhideWhenUsed/>
    <w:rsid w:val="00B94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5.248.72.55/hcpsv3/imr/report_by_code.jsp?code=SC.CH.4.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65.248.72.55/hcpsv3/imr/report_by_code.jsp?code=SC.CH.4.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5.248.72.55/hcpsv3/imr/report_by_code.jsp?code=SC.CH.4.3" TargetMode="External"/><Relationship Id="rId5" Type="http://schemas.openxmlformats.org/officeDocument/2006/relationships/hyperlink" Target="http://165.248.72.55/hcpsv3/imr/report_by_code.jsp?code=SC.CH.4.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165.248.72.55/hcpsv3/imr/report_by_code.jsp?code=SC.CH.4.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vhenderson</dc:creator>
  <cp:lastModifiedBy>Tony</cp:lastModifiedBy>
  <cp:revision>2</cp:revision>
  <cp:lastPrinted>2015-03-04T03:04:00Z</cp:lastPrinted>
  <dcterms:created xsi:type="dcterms:W3CDTF">2015-03-04T03:05:00Z</dcterms:created>
  <dcterms:modified xsi:type="dcterms:W3CDTF">2015-03-04T03:05:00Z</dcterms:modified>
</cp:coreProperties>
</file>