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Calorimetry Pre-Lab </w:t>
      </w:r>
    </w:p>
    <w:p w:rsidR="00000000" w:rsidDel="00000000" w:rsidP="00000000" w:rsidRDefault="00000000" w:rsidRPr="00000000">
      <w:pPr>
        <w:contextualSpacing w:val="0"/>
      </w:pPr>
      <w:r w:rsidDel="00000000" w:rsidR="00000000" w:rsidRPr="00000000">
        <w:rPr>
          <w:rtl w:val="0"/>
        </w:rPr>
        <w:t xml:space="preserve">The following questions are to be completed prior to the lab day. Completing these questions will give you an overview of the purpose and general procedures for the lab. Students will not be allowed to participate in the lab until the pre-lab questions are completed and the pre-lab questions quiz has been taken.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Video Link: </w:t>
      </w:r>
      <w:hyperlink r:id="rId5">
        <w:r w:rsidDel="00000000" w:rsidR="00000000" w:rsidRPr="00000000">
          <w:rPr>
            <w:color w:val="1155cc"/>
            <w:sz w:val="20"/>
            <w:highlight w:val="white"/>
            <w:u w:val="single"/>
            <w:rtl w:val="0"/>
          </w:rPr>
          <w:t xml:space="preserve">http://youtu.be/j_ob0BSy9as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the required Personal Protection Equipment (PPE) for this lab? ______________</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your 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do you think you need to take a starting mass of the piece of food?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1 calorie?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(we’ve been using joules instead of calories...From your energy transfer notes, how many Joules are equal to 1 calorie (if you missed it, it’s on the prezi!) _____________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1 gram of water = ___ mililiter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the equation to calculate the amount of energy (hint: here we’re using calories, we’ve been calculating heat in Joules)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For the equation to calculate the amount of energy ( q = m c ΔT) What do we already know? (Hint: we’re trying to find q (in calories this time, not Joules))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is it important to measure the initial temperature of the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is it important to not touch the thermometer to the glass?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is it important to lower the ring to have the beaker as close to the burning food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happens to the heat as the food burns?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youtu.be/j_ob0BSy9as" TargetMode="External"/></Relationships>
</file>